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A" w:rsidRDefault="005B67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70A" w:rsidRDefault="005B670A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67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</w:pPr>
            <w:r>
              <w:t>30 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32-з</w:t>
            </w:r>
          </w:p>
        </w:tc>
      </w:tr>
    </w:tbl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B670A" w:rsidRDefault="005B670A">
      <w:pPr>
        <w:widowControl w:val="0"/>
        <w:autoSpaceDE w:val="0"/>
        <w:autoSpaceDN w:val="0"/>
        <w:adjustRightInd w:val="0"/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СТАВКАХ ДЛЯ НАЛОГОПЛАТЕЛЬЩИКОВ, ПРИМЕНЯЮЩИХ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УПРОЩЕННУЮ СИСТЕМУ НАЛОГООБЛОЖЕНИЯ, В СЛУЧАЕ ЕСЛИ ОБЪЕКТОМ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НАЛОГООБЛОЖЕНИЯ ЯВЛЯЮТСЯ ДОХОДЫ, УМЕНЬШЕННЫЕ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ВЕЛИЧИНУ РАСХОДОВ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7"/>
      <w:bookmarkEnd w:id="0"/>
      <w:r>
        <w:t>Статья 1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>
        <w:t xml:space="preserve">1) включенные в </w:t>
      </w:r>
      <w:hyperlink r:id="rId6" w:history="1">
        <w:r>
          <w:rPr>
            <w:color w:val="0000FF"/>
          </w:rPr>
          <w:t>подкласс 50.5</w:t>
        </w:r>
      </w:hyperlink>
      <w: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включенные в </w:t>
      </w:r>
      <w:hyperlink r:id="rId7" w:history="1">
        <w:r>
          <w:rPr>
            <w:color w:val="0000FF"/>
          </w:rPr>
          <w:t>подгруппу 51.51.2</w:t>
        </w:r>
      </w:hyperlink>
      <w: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включенные в </w:t>
      </w:r>
      <w:hyperlink r:id="rId8" w:history="1">
        <w:r>
          <w:rPr>
            <w:color w:val="0000FF"/>
          </w:rPr>
          <w:t>группу 92.71</w:t>
        </w:r>
      </w:hyperlink>
      <w: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O "Предоставление прочих коммунальных, социальных и персональных услуг" ОКВЭД.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Налогоплательщики, осуществляющие виды деятельности, указанные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2" w:history="1">
        <w:r>
          <w:rPr>
            <w:color w:val="0000FF"/>
          </w:rPr>
          <w:t>3 части 1</w:t>
        </w:r>
      </w:hyperlink>
      <w:r>
        <w:t xml:space="preserve"> настоящей статьи, применяют налоговую ставку, установленную </w:t>
      </w:r>
      <w:hyperlink r:id="rId9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25"/>
      <w:bookmarkEnd w:id="3"/>
      <w:r>
        <w:t>Статья 2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N 32-з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p w:rsidR="005B670A" w:rsidRDefault="005B670A"/>
    <w:p w:rsidR="005B670A" w:rsidRDefault="005B670A"/>
    <w:p w:rsidR="005B670A" w:rsidRDefault="005B670A"/>
    <w:p w:rsidR="005B670A" w:rsidRDefault="005B670A"/>
    <w:sectPr w:rsidR="005B670A" w:rsidSect="002A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0A"/>
    <w:rsid w:val="0003358C"/>
    <w:rsid w:val="00054F33"/>
    <w:rsid w:val="000947B7"/>
    <w:rsid w:val="00155377"/>
    <w:rsid w:val="003D3E74"/>
    <w:rsid w:val="004F357B"/>
    <w:rsid w:val="005B670A"/>
    <w:rsid w:val="0069442A"/>
    <w:rsid w:val="00902578"/>
    <w:rsid w:val="009039F8"/>
    <w:rsid w:val="0094550D"/>
    <w:rsid w:val="009C0CAB"/>
    <w:rsid w:val="00A66861"/>
    <w:rsid w:val="00B928C3"/>
    <w:rsid w:val="00BC1228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D4B373376DD1C906327BB6BFFCA717B194839E56753B1PB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038209484676489BE10DBBAA5C16B5F7D4B373376DD1C906327BB6BFFCA717B194839E46051B4PBK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F7D4B373376DD1C906327BB6BFFCA717B194839E56555B7PBK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A038209484676489BE10DBBAA5C16B5F7C4F3D3272DD1C906327BB6BFFCA717B19483CE667P5K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A038209484676489BE10DBBAA5C16B5F7C4F3D3272DD1C906327BB6BFFCA717B19483CE667P5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a-buh</cp:lastModifiedBy>
  <cp:revision>2</cp:revision>
  <dcterms:created xsi:type="dcterms:W3CDTF">2017-09-04T13:18:00Z</dcterms:created>
  <dcterms:modified xsi:type="dcterms:W3CDTF">2017-09-04T13:18:00Z</dcterms:modified>
</cp:coreProperties>
</file>